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53" w:rsidRDefault="00461353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7E1F25" w:rsidTr="007E1F25">
        <w:trPr>
          <w:jc w:val="center"/>
        </w:trPr>
        <w:tc>
          <w:tcPr>
            <w:tcW w:w="2472" w:type="dxa"/>
          </w:tcPr>
          <w:p w:rsidR="007E1F25" w:rsidRPr="00B43C91" w:rsidRDefault="007E1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91">
              <w:rPr>
                <w:rFonts w:ascii="Times New Roman"/>
                <w:noProof/>
                <w:position w:val="2"/>
                <w:sz w:val="24"/>
                <w:szCs w:val="24"/>
                <w:lang w:val="it-IT" w:eastAsia="it-IT"/>
              </w:rPr>
              <w:drawing>
                <wp:inline distT="0" distB="0" distL="0" distR="0" wp14:anchorId="363185D7" wp14:editId="24E84919">
                  <wp:extent cx="1290114" cy="51949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114" cy="51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:rsidR="007E1F25" w:rsidRDefault="007E1F25" w:rsidP="007E1F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7E48FC33" wp14:editId="5100329A">
                  <wp:extent cx="1098298" cy="54835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298" cy="54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:rsidR="007E1F25" w:rsidRDefault="007E1F25" w:rsidP="007E1F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position w:val="9"/>
                <w:sz w:val="20"/>
                <w:lang w:val="it-IT" w:eastAsia="it-IT"/>
              </w:rPr>
              <w:drawing>
                <wp:inline distT="0" distB="0" distL="0" distR="0" wp14:anchorId="0FA22460" wp14:editId="5A5A35F7">
                  <wp:extent cx="1024780" cy="43719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80" cy="43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:rsidR="007E1F25" w:rsidRDefault="007E1F25" w:rsidP="007E1F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51D51C52" wp14:editId="77AC5C96">
                  <wp:extent cx="976121" cy="54835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121" cy="54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353" w:rsidRDefault="004613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1353" w:rsidRPr="00C1587F" w:rsidRDefault="00C1587F" w:rsidP="00C1587F">
      <w:pPr>
        <w:pStyle w:val="Titolo1"/>
        <w:spacing w:before="0"/>
        <w:ind w:left="0"/>
        <w:jc w:val="center"/>
        <w:rPr>
          <w:rFonts w:ascii="Times New Roman" w:hAnsi="Times New Roman" w:cs="Times New Roman"/>
          <w:b w:val="0"/>
          <w:bCs w:val="0"/>
          <w:color w:val="FF0000"/>
          <w:sz w:val="44"/>
          <w:szCs w:val="24"/>
          <w:lang w:val="it-IT"/>
        </w:rPr>
      </w:pPr>
      <w:r w:rsidRPr="00C1587F">
        <w:rPr>
          <w:rFonts w:ascii="Times New Roman" w:hAnsi="Times New Roman" w:cs="Times New Roman"/>
          <w:color w:val="FF0000"/>
          <w:spacing w:val="-1"/>
          <w:sz w:val="44"/>
          <w:szCs w:val="24"/>
          <w:lang w:val="it-IT"/>
        </w:rPr>
        <w:t>La storia infinita del Convitto Giannone continua</w:t>
      </w:r>
      <w:r w:rsidR="00D9217F" w:rsidRPr="00C1587F">
        <w:rPr>
          <w:rFonts w:ascii="Times New Roman" w:hAnsi="Times New Roman" w:cs="Times New Roman"/>
          <w:color w:val="FF0000"/>
          <w:sz w:val="44"/>
          <w:szCs w:val="24"/>
          <w:lang w:val="it-IT"/>
        </w:rPr>
        <w:t>.</w:t>
      </w:r>
    </w:p>
    <w:p w:rsidR="00C1587F" w:rsidRPr="00C1587F" w:rsidRDefault="00C1587F" w:rsidP="00C1587F">
      <w:pPr>
        <w:spacing w:before="9"/>
        <w:jc w:val="center"/>
        <w:rPr>
          <w:rFonts w:ascii="Times New Roman" w:eastAsia="Calibri" w:hAnsi="Times New Roman" w:cs="Times New Roman"/>
          <w:b/>
          <w:sz w:val="28"/>
          <w:szCs w:val="24"/>
          <w:lang w:val="it-IT"/>
        </w:rPr>
      </w:pPr>
      <w:r w:rsidRPr="00C1587F">
        <w:rPr>
          <w:rFonts w:ascii="Times New Roman" w:eastAsia="Calibri" w:hAnsi="Times New Roman" w:cs="Times New Roman"/>
          <w:b/>
          <w:sz w:val="28"/>
          <w:szCs w:val="24"/>
          <w:lang w:val="it-IT"/>
        </w:rPr>
        <w:t>La mancata attribuzione di un codice può bloccare la decisione politica</w:t>
      </w:r>
      <w:r>
        <w:rPr>
          <w:rFonts w:ascii="Times New Roman" w:eastAsia="Calibri" w:hAnsi="Times New Roman" w:cs="Times New Roman"/>
          <w:b/>
          <w:sz w:val="28"/>
          <w:szCs w:val="24"/>
          <w:lang w:val="it-IT"/>
        </w:rPr>
        <w:t>?</w:t>
      </w:r>
    </w:p>
    <w:p w:rsidR="00461353" w:rsidRPr="00C1587F" w:rsidRDefault="00461353" w:rsidP="00653B0E">
      <w:pPr>
        <w:rPr>
          <w:rFonts w:ascii="Times New Roman" w:eastAsia="Calibri" w:hAnsi="Times New Roman" w:cs="Times New Roman"/>
          <w:b/>
          <w:bCs/>
          <w:sz w:val="28"/>
          <w:szCs w:val="24"/>
          <w:lang w:val="it-IT"/>
        </w:rPr>
      </w:pPr>
    </w:p>
    <w:p w:rsidR="00461353" w:rsidRPr="00D9217F" w:rsidRDefault="00461353" w:rsidP="00653B0E">
      <w:pPr>
        <w:pStyle w:val="Corpotesto"/>
        <w:spacing w:line="275" w:lineRule="auto"/>
        <w:ind w:left="0" w:right="109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C1587F" w:rsidRDefault="00C1587F" w:rsidP="00871622">
      <w:pPr>
        <w:pStyle w:val="Corpotesto"/>
        <w:spacing w:line="275" w:lineRule="auto"/>
        <w:ind w:left="66" w:right="109" w:firstLine="501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La storia tribolata del Convitto Nazionale “Pietro Giannone” di Benevento non è finita.</w:t>
      </w:r>
    </w:p>
    <w:p w:rsidR="00C1587F" w:rsidRDefault="00FD615E" w:rsidP="00871622">
      <w:pPr>
        <w:pStyle w:val="Corpotesto"/>
        <w:spacing w:line="275" w:lineRule="auto"/>
        <w:ind w:left="66" w:right="109" w:firstLine="501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Nel 201</w:t>
      </w:r>
      <w:r w:rsidR="0053788E">
        <w:rPr>
          <w:rFonts w:ascii="Times New Roman" w:hAnsi="Times New Roman" w:cs="Times New Roman"/>
          <w:spacing w:val="-1"/>
          <w:sz w:val="24"/>
          <w:szCs w:val="24"/>
          <w:lang w:val="it-IT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l</w:t>
      </w:r>
      <w:r w:rsidR="00C158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’Accorpamento con il Liceo Artistico è durato </w:t>
      </w:r>
      <w:r w:rsidR="0053788E">
        <w:rPr>
          <w:rFonts w:ascii="Times New Roman" w:hAnsi="Times New Roman" w:cs="Times New Roman"/>
          <w:spacing w:val="-1"/>
          <w:sz w:val="24"/>
          <w:szCs w:val="24"/>
          <w:lang w:val="it-IT"/>
        </w:rPr>
        <w:t>due</w:t>
      </w:r>
      <w:r w:rsidR="00C158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ann</w:t>
      </w:r>
      <w:r w:rsidR="0053788E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="00871622"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  <w:r w:rsidR="00C158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871622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In quel caso </w:t>
      </w:r>
      <w:r w:rsidR="00C158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la Direzione scolastica regionale aveva assicurato che sarebbe stata garantita l’autonomia </w:t>
      </w:r>
      <w:r w:rsidR="00871622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dell’Istituto </w:t>
      </w:r>
      <w:r w:rsidR="00C1587F">
        <w:rPr>
          <w:rFonts w:ascii="Times New Roman" w:hAnsi="Times New Roman" w:cs="Times New Roman"/>
          <w:spacing w:val="-1"/>
          <w:sz w:val="24"/>
          <w:szCs w:val="24"/>
          <w:lang w:val="it-IT"/>
        </w:rPr>
        <w:t>in deroga alla normativa vigente proprio per la peculiarità dei Convitt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="00C1587F"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  <w:r w:rsidR="0053788E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Così non </w:t>
      </w:r>
      <w:r w:rsidR="00871622">
        <w:rPr>
          <w:rFonts w:ascii="Times New Roman" w:hAnsi="Times New Roman" w:cs="Times New Roman"/>
          <w:spacing w:val="-1"/>
          <w:sz w:val="24"/>
          <w:szCs w:val="24"/>
          <w:lang w:val="it-IT"/>
        </w:rPr>
        <w:t>fu</w:t>
      </w:r>
      <w:r w:rsidR="0053788E"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</w:p>
    <w:p w:rsidR="00C77738" w:rsidRDefault="00FD615E" w:rsidP="00871622">
      <w:pPr>
        <w:pStyle w:val="Corpotesto"/>
        <w:spacing w:line="275" w:lineRule="auto"/>
        <w:ind w:left="66" w:right="109" w:firstLine="501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Nel 2015 </w:t>
      </w:r>
      <w:r w:rsidR="001D5B3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pur con la delibera provinciale che prevedeva </w:t>
      </w:r>
      <w:r w:rsidR="00C7773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che l’IC San Filippo fosse aggregato al Convitto non se ne è fatto niente lasciando per il 2015-16 che il Convitto “sopravvivesse” con una sola classe. Sono scomparsi i cuochi e si sono drasticamente ridotti gli assistenti amministrativi e i collaboratori scolastici, (magazzinieri, infermieri, educatori??? …boh!). </w:t>
      </w:r>
    </w:p>
    <w:p w:rsidR="00FD615E" w:rsidRDefault="00421255" w:rsidP="00871622">
      <w:pPr>
        <w:pStyle w:val="Corpotesto"/>
        <w:spacing w:line="275" w:lineRule="auto"/>
        <w:ind w:left="66" w:right="109" w:firstLine="501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="00C77738">
        <w:rPr>
          <w:rFonts w:ascii="Times New Roman" w:hAnsi="Times New Roman" w:cs="Times New Roman"/>
          <w:spacing w:val="-1"/>
          <w:sz w:val="24"/>
          <w:szCs w:val="24"/>
          <w:lang w:val="it-IT"/>
        </w:rPr>
        <w:t>ra stato</w:t>
      </w:r>
      <w:r w:rsidR="00FD615E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dato per spacciato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, poi i documenti</w:t>
      </w:r>
      <w:r w:rsidR="00FD615E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, i manifesti, le proteste hanno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fatto sì che</w:t>
      </w:r>
      <w:r w:rsidR="00FD615E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la Direzione scolastica regionale garanti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sse</w:t>
      </w:r>
      <w:r w:rsidR="00FD615E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la sopravvivenza del Convitto con l’unica classe di scuola media ancora in funzione, rigettando la richiesta di accorpamento con l’Istituto Comprensivo “San Filippo”</w:t>
      </w:r>
      <w:r w:rsidR="00F46E5D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871622">
        <w:rPr>
          <w:rFonts w:ascii="Times New Roman" w:hAnsi="Times New Roman" w:cs="Times New Roman"/>
          <w:spacing w:val="-1"/>
          <w:sz w:val="24"/>
          <w:szCs w:val="24"/>
          <w:lang w:val="it-IT"/>
        </w:rPr>
        <w:t>venuto dal tavolo provinciale che aveva affrontato la questione.</w:t>
      </w:r>
    </w:p>
    <w:p w:rsidR="00F46E5D" w:rsidRDefault="00F46E5D" w:rsidP="00871622">
      <w:pPr>
        <w:pStyle w:val="Corpotesto"/>
        <w:spacing w:line="275" w:lineRule="auto"/>
        <w:ind w:left="66" w:right="109" w:firstLine="501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In settembre è stata invitato l’Assessore regionale Lucia Fortini per dirimere la questione e per chiederLe un impegno sul rilancio del Convitto.</w:t>
      </w:r>
      <w:r w:rsidR="00E95A61" w:rsidRPr="00E95A6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“C'é la volontà di salvare l'istituto”</w:t>
      </w:r>
      <w:r w:rsidR="00E95A6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dichiarò alla stampa la Fortini.</w:t>
      </w:r>
    </w:p>
    <w:p w:rsidR="00D12BE4" w:rsidRDefault="00F46E5D" w:rsidP="00871622">
      <w:pPr>
        <w:pStyle w:val="Corpotesto"/>
        <w:spacing w:line="275" w:lineRule="auto"/>
        <w:ind w:left="66" w:right="109" w:firstLine="501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Poi si sono tenuti numerosi incontri</w:t>
      </w:r>
      <w:r w:rsidR="00D921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E33823">
        <w:rPr>
          <w:rFonts w:ascii="Times New Roman" w:hAnsi="Times New Roman" w:cs="Times New Roman"/>
          <w:spacing w:val="-1"/>
          <w:sz w:val="24"/>
          <w:szCs w:val="24"/>
          <w:lang w:val="it-IT"/>
        </w:rPr>
        <w:t>con Regione, Provincia e Direzione Scolastica Regionale</w:t>
      </w:r>
      <w:r w:rsidR="00301406">
        <w:rPr>
          <w:rFonts w:ascii="Times New Roman" w:hAnsi="Times New Roman" w:cs="Times New Roman"/>
          <w:spacing w:val="-1"/>
          <w:sz w:val="24"/>
          <w:szCs w:val="24"/>
          <w:lang w:val="it-IT"/>
        </w:rPr>
        <w:t>,</w:t>
      </w:r>
      <w:r w:rsidR="00E33823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D921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in cui ciascuno per la propria parte si </w:t>
      </w:r>
      <w:r w:rsidR="004C66F9">
        <w:rPr>
          <w:rFonts w:ascii="Times New Roman" w:hAnsi="Times New Roman" w:cs="Times New Roman"/>
          <w:spacing w:val="-1"/>
          <w:sz w:val="24"/>
          <w:szCs w:val="24"/>
          <w:lang w:val="it-IT"/>
        </w:rPr>
        <w:t>è</w:t>
      </w:r>
      <w:r w:rsidR="00D921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adoperat</w:t>
      </w:r>
      <w:r w:rsidR="004C66F9">
        <w:rPr>
          <w:rFonts w:ascii="Times New Roman" w:hAnsi="Times New Roman" w:cs="Times New Roman"/>
          <w:spacing w:val="-1"/>
          <w:sz w:val="24"/>
          <w:szCs w:val="24"/>
          <w:lang w:val="it-IT"/>
        </w:rPr>
        <w:t>o</w:t>
      </w:r>
      <w:r w:rsidR="00D921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per dare una soluzione al problema del Convitto Nazionale “Pietro Giannone” di Benevento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, conclusi con </w:t>
      </w:r>
      <w:r w:rsidR="004C66F9">
        <w:rPr>
          <w:rFonts w:ascii="Times New Roman" w:hAnsi="Times New Roman" w:cs="Times New Roman"/>
          <w:spacing w:val="-1"/>
          <w:sz w:val="24"/>
          <w:szCs w:val="24"/>
          <w:lang w:val="it-IT"/>
        </w:rPr>
        <w:t>l’</w:t>
      </w:r>
      <w:r w:rsidR="00D12BE4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approvazione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della</w:t>
      </w:r>
      <w:r w:rsidR="00D12BE4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delibera n° 722 del 26/1/2016 della Regione Campania, in cui viene certificato che sono stati effettuati con regolarità tutti i passaggi previsti dalle Linee guida emanati dalla Regione Campania per l’anno scolastico 2016/2017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e che, quindi, anche l’accorpamento anche al Convitto “Giannone” dell’Istituto Comprensivo “San Filippo” fosse cosa fata.</w:t>
      </w:r>
    </w:p>
    <w:p w:rsidR="00F46E5D" w:rsidRDefault="00F46E5D" w:rsidP="00871622">
      <w:pPr>
        <w:pStyle w:val="Corpotesto"/>
        <w:spacing w:line="275" w:lineRule="auto"/>
        <w:ind w:left="66" w:right="109" w:firstLine="501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Oggi scopriamo che “</w:t>
      </w:r>
      <w:r w:rsidRPr="00F46E5D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questo matrimonio non s’ha da fare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” !!!</w:t>
      </w:r>
    </w:p>
    <w:p w:rsidR="00871622" w:rsidRDefault="00F46E5D" w:rsidP="00871622">
      <w:pPr>
        <w:pStyle w:val="Corpotesto"/>
        <w:spacing w:line="275" w:lineRule="auto"/>
        <w:ind w:left="66" w:right="109" w:firstLine="501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Le ragioni sarebbero da ricercarsi in una difficoltà tecnica nel far sì che </w:t>
      </w:r>
      <w:r w:rsidR="00871622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i codici delle due Istituzioni siano compatibili </w:t>
      </w:r>
      <w:r w:rsidR="00421255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con </w:t>
      </w:r>
      <w:r w:rsidR="00871622">
        <w:rPr>
          <w:rFonts w:ascii="Times New Roman" w:hAnsi="Times New Roman" w:cs="Times New Roman"/>
          <w:spacing w:val="-1"/>
          <w:sz w:val="24"/>
          <w:szCs w:val="24"/>
          <w:lang w:val="it-IT"/>
        </w:rPr>
        <w:t>l’accorpamento</w:t>
      </w:r>
      <w:r w:rsidR="00421255"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</w:p>
    <w:p w:rsidR="00F46E5D" w:rsidRDefault="00871622" w:rsidP="00871622">
      <w:pPr>
        <w:pStyle w:val="Corpotesto"/>
        <w:spacing w:line="275" w:lineRule="auto"/>
        <w:ind w:left="66" w:right="109" w:firstLine="501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L’Ufficio Scolastico Regionale sarà tutto impegnato a superare questo problema, ma invitiamo il Presidente della Provincia, Ricci e l’Assessore Regionale, Fortini a far sì che le decisioni politiche, faticosamente raggiunte, non siano inficiate da un banale tecnicismo.</w:t>
      </w:r>
    </w:p>
    <w:p w:rsidR="00871622" w:rsidRDefault="00871622" w:rsidP="00871622">
      <w:pPr>
        <w:pStyle w:val="Corpotesto"/>
        <w:spacing w:line="275" w:lineRule="auto"/>
        <w:ind w:left="66" w:right="109" w:firstLine="501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Le Organizzazioni Sindacali vigileranno affinché ciò non avvenga</w:t>
      </w:r>
      <w:r w:rsidR="00E95A6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, </w:t>
      </w:r>
      <w:r w:rsidR="00421255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con la </w:t>
      </w:r>
      <w:r w:rsidR="00E95A61">
        <w:rPr>
          <w:rFonts w:ascii="Times New Roman" w:hAnsi="Times New Roman" w:cs="Times New Roman"/>
          <w:spacing w:val="-1"/>
          <w:sz w:val="24"/>
          <w:szCs w:val="24"/>
          <w:lang w:val="it-IT"/>
        </w:rPr>
        <w:t>cancella</w:t>
      </w:r>
      <w:r w:rsidR="00421255">
        <w:rPr>
          <w:rFonts w:ascii="Times New Roman" w:hAnsi="Times New Roman" w:cs="Times New Roman"/>
          <w:spacing w:val="-1"/>
          <w:sz w:val="24"/>
          <w:szCs w:val="24"/>
          <w:lang w:val="it-IT"/>
        </w:rPr>
        <w:t>zione</w:t>
      </w:r>
      <w:r w:rsidR="00E95A6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ancora </w:t>
      </w:r>
      <w:r w:rsidR="00421255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di </w:t>
      </w:r>
      <w:r w:rsidR="00E95A6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servizi ai cittadini, </w:t>
      </w:r>
      <w:r w:rsidR="00421255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di </w:t>
      </w:r>
      <w:r w:rsidR="00E95A6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posti di lavoro, </w:t>
      </w:r>
      <w:r w:rsidR="00421255">
        <w:rPr>
          <w:rFonts w:ascii="Times New Roman" w:hAnsi="Times New Roman" w:cs="Times New Roman"/>
          <w:spacing w:val="-1"/>
          <w:sz w:val="24"/>
          <w:szCs w:val="24"/>
          <w:lang w:val="it-IT"/>
        </w:rPr>
        <w:t>dell</w:t>
      </w:r>
      <w:r w:rsidR="00E95A6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a storia gloriosa </w:t>
      </w:r>
      <w:r w:rsidR="00421255">
        <w:rPr>
          <w:rFonts w:ascii="Times New Roman" w:hAnsi="Times New Roman" w:cs="Times New Roman"/>
          <w:spacing w:val="-1"/>
          <w:sz w:val="24"/>
          <w:szCs w:val="24"/>
          <w:lang w:val="it-IT"/>
        </w:rPr>
        <w:t>dell’I</w:t>
      </w:r>
      <w:bookmarkStart w:id="0" w:name="_GoBack"/>
      <w:bookmarkEnd w:id="0"/>
      <w:r w:rsidR="00E95A6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stituzione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</w:p>
    <w:p w:rsidR="00871622" w:rsidRDefault="00871622" w:rsidP="00653B0E">
      <w:pPr>
        <w:pStyle w:val="Corpotesto"/>
        <w:spacing w:before="161"/>
        <w:ind w:left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461353" w:rsidRPr="00B9510C" w:rsidRDefault="00B43C91" w:rsidP="00653B0E">
      <w:pPr>
        <w:pStyle w:val="Corpotesto"/>
        <w:spacing w:before="161"/>
        <w:ind w:left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9510C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Pr="00B9510C">
        <w:rPr>
          <w:rFonts w:ascii="Times New Roman" w:hAnsi="Times New Roman" w:cs="Times New Roman"/>
          <w:spacing w:val="-1"/>
          <w:sz w:val="24"/>
          <w:szCs w:val="24"/>
          <w:lang w:val="it-IT"/>
        </w:rPr>
        <w:t>Segreterie</w:t>
      </w:r>
      <w:r w:rsidRPr="00B9510C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9510C">
        <w:rPr>
          <w:rFonts w:ascii="Times New Roman" w:hAnsi="Times New Roman" w:cs="Times New Roman"/>
          <w:spacing w:val="-1"/>
          <w:sz w:val="24"/>
          <w:szCs w:val="24"/>
          <w:lang w:val="it-IT"/>
        </w:rPr>
        <w:t>Provinciali</w:t>
      </w:r>
      <w:r w:rsidR="00B9510C" w:rsidRPr="00B9510C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di Benevento</w:t>
      </w:r>
    </w:p>
    <w:p w:rsidR="00461353" w:rsidRPr="00B9510C" w:rsidRDefault="00461353">
      <w:pPr>
        <w:rPr>
          <w:rFonts w:ascii="Calibri" w:eastAsia="Calibri" w:hAnsi="Calibri" w:cs="Calibri"/>
          <w:sz w:val="20"/>
          <w:szCs w:val="20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B43C91" w:rsidTr="00B43C91">
        <w:trPr>
          <w:jc w:val="center"/>
        </w:trPr>
        <w:tc>
          <w:tcPr>
            <w:tcW w:w="2472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FLC</w:t>
            </w:r>
            <w:r w:rsidRPr="00B43C9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CGIL</w:t>
            </w:r>
          </w:p>
        </w:tc>
        <w:tc>
          <w:tcPr>
            <w:tcW w:w="2472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CISL</w:t>
            </w:r>
            <w:r w:rsidRPr="00B4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proofErr w:type="spellEnd"/>
          </w:p>
        </w:tc>
        <w:tc>
          <w:tcPr>
            <w:tcW w:w="2473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z w:val="24"/>
                <w:szCs w:val="24"/>
              </w:rPr>
              <w:t>UIL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proofErr w:type="spellEnd"/>
          </w:p>
        </w:tc>
        <w:tc>
          <w:tcPr>
            <w:tcW w:w="2473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SNALS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CONFSAL</w:t>
            </w:r>
          </w:p>
        </w:tc>
      </w:tr>
      <w:tr w:rsidR="00B43C91" w:rsidTr="00B43C91">
        <w:trPr>
          <w:jc w:val="center"/>
        </w:trPr>
        <w:tc>
          <w:tcPr>
            <w:tcW w:w="2472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B43C9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43C9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Delli</w:t>
            </w:r>
            <w:proofErr w:type="spellEnd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Veneri</w:t>
            </w:r>
            <w:proofErr w:type="spellEnd"/>
          </w:p>
        </w:tc>
        <w:tc>
          <w:tcPr>
            <w:tcW w:w="2472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E.</w:t>
            </w:r>
            <w:r w:rsidRPr="00B43C9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Del</w:t>
            </w:r>
            <w:r w:rsidRPr="00B43C9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Ninno</w:t>
            </w:r>
            <w:proofErr w:type="spellEnd"/>
          </w:p>
        </w:tc>
        <w:tc>
          <w:tcPr>
            <w:tcW w:w="2473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A.</w:t>
            </w:r>
            <w:r w:rsidRPr="00B43C9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Pr="00B43C9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Nigris</w:t>
            </w:r>
            <w:proofErr w:type="spellEnd"/>
          </w:p>
        </w:tc>
        <w:tc>
          <w:tcPr>
            <w:tcW w:w="2473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I.</w:t>
            </w:r>
            <w:r w:rsidRPr="00B43C9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Rosa</w:t>
            </w:r>
          </w:p>
        </w:tc>
      </w:tr>
    </w:tbl>
    <w:p w:rsidR="00461353" w:rsidRDefault="00461353">
      <w:pPr>
        <w:rPr>
          <w:rFonts w:ascii="Calibri" w:eastAsia="Calibri" w:hAnsi="Calibri" w:cs="Calibri"/>
          <w:sz w:val="20"/>
          <w:szCs w:val="20"/>
        </w:rPr>
      </w:pPr>
    </w:p>
    <w:sectPr w:rsidR="00461353" w:rsidSect="00BB46F1">
      <w:type w:val="continuous"/>
      <w:pgSz w:w="11910" w:h="16840"/>
      <w:pgMar w:top="1135" w:right="1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D23"/>
    <w:multiLevelType w:val="hybridMultilevel"/>
    <w:tmpl w:val="4BDCA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53"/>
    <w:rsid w:val="00114F79"/>
    <w:rsid w:val="00116CB1"/>
    <w:rsid w:val="001D5B38"/>
    <w:rsid w:val="00301406"/>
    <w:rsid w:val="00421255"/>
    <w:rsid w:val="00461353"/>
    <w:rsid w:val="0048351F"/>
    <w:rsid w:val="004C66F9"/>
    <w:rsid w:val="0053788E"/>
    <w:rsid w:val="00653B0E"/>
    <w:rsid w:val="007E1F25"/>
    <w:rsid w:val="008435D5"/>
    <w:rsid w:val="00871622"/>
    <w:rsid w:val="008F2C65"/>
    <w:rsid w:val="00B43C91"/>
    <w:rsid w:val="00B47BB6"/>
    <w:rsid w:val="00B574F0"/>
    <w:rsid w:val="00B9510C"/>
    <w:rsid w:val="00BB46F1"/>
    <w:rsid w:val="00C1587F"/>
    <w:rsid w:val="00C77738"/>
    <w:rsid w:val="00D12BE4"/>
    <w:rsid w:val="00D9217F"/>
    <w:rsid w:val="00E33823"/>
    <w:rsid w:val="00E95A61"/>
    <w:rsid w:val="00F46E5D"/>
    <w:rsid w:val="00FB0017"/>
    <w:rsid w:val="00FD615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276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6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F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1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bigtitolo">
    <w:name w:val="news_big_titolo"/>
    <w:basedOn w:val="Carpredefinitoparagrafo"/>
    <w:rsid w:val="00E95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276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6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F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1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bigtitolo">
    <w:name w:val="news_big_titolo"/>
    <w:basedOn w:val="Carpredefinitoparagrafo"/>
    <w:rsid w:val="00E9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7488-0785-41DE-8F42-3261ED9C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Prefetto di Benevento</vt:lpstr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Prefetto di Benevento</dc:title>
  <dc:creator>Cgil</dc:creator>
  <cp:lastModifiedBy>-</cp:lastModifiedBy>
  <cp:revision>5</cp:revision>
  <dcterms:created xsi:type="dcterms:W3CDTF">2016-02-20T10:19:00Z</dcterms:created>
  <dcterms:modified xsi:type="dcterms:W3CDTF">2016-02-20T18:23:00Z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2015-05-17T00:00:00Z</vt:filetime>
  </property>
  <property fmtid="{D5CDD505-2E9C-101B-9397-08002B2CF9AE}" pid="3" name="LastSaved">
    <vt:filetime>2015-05-28T00:00:00Z</vt:filetime>
  </property>
</Properties>
</file>